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游ゴシック" w:cs="游ゴシック" w:eastAsia="游ゴシック" w:hAnsi="游ゴシック"/>
          <w:b/>
          <w:bCs/>
          <w:sz w:val="40"/>
          <w:szCs w:val="40"/>
        </w:rPr>
        <w:t xml:space="preserve">生成AI利用ガイドライン</w:t>
      </w:r>
    </w:p>
    <w:p>
      <w:pPr>
        <w:spacing w:after="240"/>
        <w:jc w:val="center"/>
      </w:pPr>
      <w:r>
        <w:rPr>
          <w:rFonts w:ascii="游ゴシック" w:cs="游ゴシック" w:eastAsia="游ゴシック" w:hAnsi="游ゴシック"/>
          <w:sz w:val="24"/>
          <w:szCs w:val="24"/>
          <w:highlight w:val="yellow"/>
        </w:rPr>
        <w:t xml:space="preserve">【会社名】</w:t>
      </w:r>
      <w:r>
        <w:rPr>
          <w:rFonts w:ascii="游ゴシック" w:cs="游ゴシック" w:eastAsia="游ゴシック" w:hAnsi="游ゴシック"/>
          <w:sz w:val="24"/>
          <w:szCs w:val="24"/>
        </w:rPr>
        <w:t xml:space="preserve">　制定日：</w:t>
      </w:r>
      <w:r>
        <w:rPr>
          <w:rFonts w:ascii="游ゴシック" w:cs="游ゴシック" w:eastAsia="游ゴシック" w:hAnsi="游ゴシック"/>
          <w:sz w:val="24"/>
          <w:szCs w:val="24"/>
          <w:highlight w:val="yellow"/>
        </w:rPr>
        <w:t xml:space="preserve">【20XX年X月X日】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FF6D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游ゴシック" w:cs="游ゴシック" w:eastAsia="游ゴシック" w:hAnsi="游ゴシック"/>
                <w:b/>
                <w:bCs/>
                <w:sz w:val="20"/>
                <w:szCs w:val="20"/>
              </w:rPr>
              <w:t xml:space="preserve">■ このひな形の使い方（この枠は配布前に削除してください）</w:t>
            </w:r>
          </w:p>
          <w:p>
            <w:pPr>
              <w:spacing w:after="60" w:line="300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>黄色マーカーの【　】部分を自社の内容に置き換えてください。主な置き換え箇所は、会社名・担当部署名・相談窓口・承認ツール一覧（別表）です。</w:t>
            </w:r>
          </w:p>
          <w:p>
            <w:pPr>
              <w:spacing w:line="300"/>
            </w:pPr>
            <w:r>
              <w:rPr>
                <w:rFonts w:ascii="游明朝" w:cs="游明朝" w:eastAsia="游明朝" w:hAnsi="游明朝"/>
                <w:sz w:val="20"/>
                <w:szCs w:val="20"/>
              </w:rPr>
              <w:t xml:space="preserve">業種によって重視すべき項目は異なります。介護・医療では利用者情報の取り扱い、士業では守秘義務との関係など、必要に応じて条文を加筆してください。</w:t>
            </w:r>
          </w:p>
        </w:tc>
      </w:tr>
    </w:tbl>
    <w:p>
      <w:pPr>
        <w:spacing w:after="120"/>
      </w:pP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第1条（目的）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本ガイドラインは、当社における生成AI（文章・画像等を自動生成する人工知能サービスをいう。以下同じ）の業務利用について、安全かつ効果的な活用のためのルールを定めることを目的とする。生成AIの利用を不必要に制限するためのものではなく、全従業員が安心して生成AIを業務に活用できる環境を整えるために定めるものである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第2条（適用範囲）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本ガイドラインは、当社のすべての役員および従業員（正社員、契約社員、パートタイマー、アルバイト、派遣社員を含む）が、業務に関連して生成AIを利用するすべての場合に適用する。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第3条（利用できるツールと申請の手順）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業務における生成AIの利用は、会社が契約または承認したツール（別表に定める）に限る。</w:t>
      </w:r>
    </w:p>
    <w:p>
      <w:pPr>
        <w:pStyle w:val="ListParagraph"/>
        <w:numPr>
          <w:ilvl w:val="0"/>
          <w:numId w:val="2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個人契約のアカウントおよび会社が承認していないツールを業務に使用してはならない。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3．別表にないツールの利用を希望する場合は、所定の様式により</w:t>
      </w:r>
      <w:r>
        <w:rPr>
          <w:rFonts w:ascii="游明朝" w:cs="游明朝" w:eastAsia="游明朝" w:hAnsi="游明朝"/>
          <w:sz w:val="21"/>
          <w:szCs w:val="21"/>
          <w:highlight w:val="yellow"/>
        </w:rPr>
        <w:t xml:space="preserve">【担当部署名】</w:t>
      </w:r>
      <w:r>
        <w:rPr>
          <w:rFonts w:ascii="游明朝" w:cs="游明朝" w:eastAsia="游明朝" w:hAnsi="游明朝"/>
          <w:sz w:val="21"/>
          <w:szCs w:val="21"/>
        </w:rPr>
        <w:t xml:space="preserve">に申請し、承認を得たうえで利用する。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第4条（入力してはいけない情報）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従業員は、次の各号に定める情報を生成AIに入力してはならない。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游明朝" w:cs="游明朝" w:eastAsia="游明朝" w:hAnsi="游明朝"/>
          <w:sz w:val="21"/>
          <w:szCs w:val="21"/>
        </w:rPr>
        <w:t xml:space="preserve">顧客・取引先の氏名、住所、電話番号、メールアドレス等の個人情報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游明朝" w:cs="游明朝" w:eastAsia="游明朝" w:hAnsi="游明朝"/>
          <w:sz w:val="21"/>
          <w:szCs w:val="21"/>
        </w:rPr>
        <w:t xml:space="preserve">取引先との契約内容および秘密保持契約（NDA）の対象となる情報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游明朝" w:cs="游明朝" w:eastAsia="游明朝" w:hAnsi="游明朝"/>
          <w:sz w:val="21"/>
          <w:szCs w:val="21"/>
        </w:rPr>
        <w:t xml:space="preserve">従業員の人事情報、給与情報、健康情報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游明朝" w:cs="游明朝" w:eastAsia="游明朝" w:hAnsi="游明朝"/>
          <w:sz w:val="21"/>
          <w:szCs w:val="21"/>
        </w:rPr>
        <w:t xml:space="preserve">未公開の財務情報、経営情報、技術情報</w:t>
      </w:r>
    </w:p>
    <w:p>
      <w:pPr>
        <w:pStyle w:val="ListParagraph"/>
        <w:numPr>
          <w:ilvl w:val="0"/>
          <w:numId w:val="3"/>
        </w:numPr>
        <w:spacing w:after="80" w:line="300"/>
      </w:pPr>
      <w:r>
        <w:rPr>
          <w:rFonts w:ascii="游明朝" w:cs="游明朝" w:eastAsia="游明朝" w:hAnsi="游明朝"/>
          <w:sz w:val="21"/>
          <w:szCs w:val="21"/>
          <w:highlight w:val="yellow"/>
        </w:rPr>
        <w:t xml:space="preserve">【自社の業務に応じて追加：例）利用者のケア記録、患者情報、依頼者の相談内容　など】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ただし、氏名を記号に置き換えるなど、個人や取引先を特定できない形に加工した情報については、この限りでない。加工の方法に迷う場合は、第9条に定める相談窓口に確認する。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第5条（業務での指示の出し方と記録）</w:t>
      </w:r>
    </w:p>
    <w:p>
      <w:pPr>
        <w:pStyle w:val="ListParagraph"/>
        <w:numPr>
          <w:ilvl w:val="0"/>
          <w:numId w:val="4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生成AIに指示を出す際は、目的・対象読者・希望する形式等の背景情報を適切に伝え、効率的な利用に努める。</w:t>
      </w:r>
    </w:p>
    <w:p>
      <w:pPr>
        <w:pStyle w:val="ListParagraph"/>
        <w:numPr>
          <w:ilvl w:val="0"/>
          <w:numId w:val="4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生成AIを顧客向け成果物（提案書、見積書、契約書案、公開文書等）の作成に利用した場合は、利用したツール名と主な指示内容を当該業務の記録に残す。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第6条（出力の確認とファクトチェック）</w:t>
      </w:r>
    </w:p>
    <w:p>
      <w:pPr>
        <w:pStyle w:val="ListParagraph"/>
        <w:numPr>
          <w:ilvl w:val="0"/>
          <w:numId w:val="5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生成AIの出力を業務に使用する際は、利用者本人がその内容の正確性を確認しなければならない。生成AIの出力をそのまま確認せずに使用してはならない。</w:t>
      </w:r>
    </w:p>
    <w:p>
      <w:pPr>
        <w:pStyle w:val="ListParagraph"/>
        <w:numPr>
          <w:ilvl w:val="0"/>
          <w:numId w:val="5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出力に数値、計算結果、法令、統計、固有名詞が含まれる場合は、原典または公式な情報源により裏付けを確認する。</w:t>
      </w:r>
    </w:p>
    <w:p>
      <w:pPr>
        <w:pStyle w:val="ListParagraph"/>
        <w:numPr>
          <w:ilvl w:val="0"/>
          <w:numId w:val="5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生成AIの出力は誤りを含み得ることを前提とし、確認が困難な内容は業務に使用しない。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第7条（著作権・権利侵害の確認）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1．生成AIの出力を社外に公開する場合（Webサイト、SNS、広告、印刷物等）は、既存の著作物、商標、デザイン等との類似がないかを事前に確認する。疑義がある場合は</w:t>
      </w:r>
      <w:r>
        <w:rPr>
          <w:rFonts w:ascii="游明朝" w:cs="游明朝" w:eastAsia="游明朝" w:hAnsi="游明朝"/>
          <w:sz w:val="21"/>
          <w:szCs w:val="21"/>
          <w:highlight w:val="yellow"/>
        </w:rPr>
        <w:t xml:space="preserve">【担当部署名】</w:t>
      </w:r>
      <w:r>
        <w:rPr>
          <w:rFonts w:ascii="游明朝" w:cs="游明朝" w:eastAsia="游明朝" w:hAnsi="游明朝"/>
          <w:sz w:val="21"/>
          <w:szCs w:val="21"/>
        </w:rPr>
        <w:t xml:space="preserve">に相談のうえ判断する。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2．他者の著作物を生成AIに入力して翻案・要約等を行う場合は、当該著作物の利用条件に反しないことを確認する。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第8条（責任の所在と承認フロー）</w:t>
      </w:r>
    </w:p>
    <w:p>
      <w:pPr>
        <w:pStyle w:val="ListParagraph"/>
        <w:numPr>
          <w:ilvl w:val="0"/>
          <w:numId w:val="6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生成AIを利用して作成した成果物に関する責任は、当該成果物を業務に使用した従業員およびその承認者が負う。生成AIが作成したことを理由に責任を免れることはできない。</w:t>
      </w:r>
    </w:p>
    <w:p>
      <w:pPr>
        <w:pStyle w:val="ListParagraph"/>
        <w:numPr>
          <w:ilvl w:val="0"/>
          <w:numId w:val="6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社外に提出または公開する文書は、生成AIの利用の有無にかかわらず、従来の承認フローと同様に上長の承認を得る。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第9条（見直しと相談窓口）</w:t>
      </w:r>
    </w:p>
    <w:p>
      <w:pPr>
        <w:pStyle w:val="ListParagraph"/>
        <w:numPr>
          <w:ilvl w:val="0"/>
          <w:numId w:val="7"/>
        </w:numPr>
        <w:spacing w:after="100" w:line="320"/>
      </w:pPr>
      <w:r>
        <w:rPr>
          <w:rFonts w:ascii="游明朝" w:cs="游明朝" w:eastAsia="游明朝" w:hAnsi="游明朝"/>
          <w:sz w:val="21"/>
          <w:szCs w:val="21"/>
        </w:rPr>
        <w:t xml:space="preserve">本ガイドラインは、生成AIをめぐる技術・法令等の変化を踏まえ、原則として半年ごとに見直す。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2．生成AIの利用に関して判断に迷う場合は、</w:t>
      </w:r>
      <w:r>
        <w:rPr>
          <w:rFonts w:ascii="游明朝" w:cs="游明朝" w:eastAsia="游明朝" w:hAnsi="游明朝"/>
          <w:sz w:val="21"/>
          <w:szCs w:val="21"/>
          <w:highlight w:val="yellow"/>
        </w:rPr>
        <w:t xml:space="preserve">【担当者名または窓口名】</w:t>
      </w:r>
      <w:r>
        <w:rPr>
          <w:rFonts w:ascii="游明朝" w:cs="游明朝" w:eastAsia="游明朝" w:hAnsi="游明朝"/>
          <w:sz w:val="21"/>
          <w:szCs w:val="21"/>
        </w:rPr>
        <w:t xml:space="preserve">に相談する。相談したこと自体が不利益に扱われることはない。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3．会社は、従業員が生成AIを適切に活用できるよう、必要な教育・研修の機会を提供するよう努める。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附則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本ガイドラインは、</w:t>
      </w:r>
      <w:r>
        <w:rPr>
          <w:rFonts w:ascii="游明朝" w:cs="游明朝" w:eastAsia="游明朝" w:hAnsi="游明朝"/>
          <w:sz w:val="21"/>
          <w:szCs w:val="21"/>
          <w:highlight w:val="yellow"/>
        </w:rPr>
        <w:t xml:space="preserve">【20XX年X月X日】</w:t>
      </w:r>
      <w:r>
        <w:rPr>
          <w:rFonts w:ascii="游明朝" w:cs="游明朝" w:eastAsia="游明朝" w:hAnsi="游明朝"/>
          <w:sz w:val="21"/>
          <w:szCs w:val="21"/>
        </w:rPr>
        <w:t xml:space="preserve">から施行する。</w:t>
      </w: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別表（利用を承認する生成AIツール）</w:t>
      </w:r>
    </w:p>
    <w:p>
      <w:pPr>
        <w:spacing w:after="120" w:line="320"/>
      </w:pPr>
      <w:r>
        <w:rPr>
          <w:rFonts w:ascii="游明朝" w:cs="游明朝" w:eastAsia="游明朝" w:hAnsi="游明朝"/>
          <w:sz w:val="21"/>
          <w:szCs w:val="21"/>
        </w:rPr>
        <w:t xml:space="preserve">業務での利用を承認するツールは次のとおりとする。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6"/>
        <w:gridCol w:w="3160"/>
        <w:gridCol w:w="3160"/>
      </w:tblGrid>
      <w:tr>
        <w:tc>
          <w:tcPr>
            <w:tcW w:type="dxa" w:w="27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ゴシック" w:cs="游ゴシック" w:eastAsia="游ゴシック" w:hAnsi="游ゴシック"/>
                <w:b/>
                <w:bCs/>
                <w:sz w:val="20"/>
                <w:szCs w:val="20"/>
              </w:rPr>
              <w:t xml:space="preserve">ツール名</w:t>
            </w:r>
          </w:p>
        </w:tc>
        <w:tc>
          <w:tcPr>
            <w:tcW w:type="dxa" w:w="3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ゴシック" w:cs="游ゴシック" w:eastAsia="游ゴシック" w:hAnsi="游ゴシック"/>
                <w:b/>
                <w:bCs/>
                <w:sz w:val="20"/>
                <w:szCs w:val="20"/>
              </w:rPr>
              <w:t xml:space="preserve">契約プラン</w:t>
            </w:r>
          </w:p>
        </w:tc>
        <w:tc>
          <w:tcPr>
            <w:tcW w:type="dxa" w:w="3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ゴシック" w:cs="游ゴシック" w:eastAsia="游ゴシック" w:hAnsi="游ゴシック"/>
                <w:b/>
                <w:bCs/>
                <w:sz w:val="20"/>
                <w:szCs w:val="20"/>
              </w:rPr>
              <w:t xml:space="preserve">利用できる業務の範囲</w:t>
            </w:r>
          </w:p>
        </w:tc>
      </w:tr>
      <w:tr>
        <w:tc>
          <w:tcPr>
            <w:tcW w:type="dxa" w:w="27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【例：Claude】</w:t>
            </w:r>
          </w:p>
        </w:tc>
        <w:tc>
          <w:tcPr>
            <w:tcW w:type="dxa" w:w="3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【例：Team プラン】</w:t>
            </w:r>
          </w:p>
        </w:tc>
        <w:tc>
          <w:tcPr>
            <w:tcW w:type="dxa" w:w="3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【例：文書作成、要約、翻訳】</w:t>
            </w:r>
          </w:p>
        </w:tc>
      </w:tr>
      <w:tr>
        <w:tc>
          <w:tcPr>
            <w:tcW w:type="dxa" w:w="27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　】</w:t>
            </w:r>
          </w:p>
        </w:tc>
        <w:tc>
          <w:tcPr>
            <w:tcW w:type="dxa" w:w="3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　】</w:t>
            </w:r>
          </w:p>
        </w:tc>
        <w:tc>
          <w:tcPr>
            <w:tcW w:type="dxa" w:w="3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　】</w:t>
            </w:r>
          </w:p>
        </w:tc>
      </w:tr>
      <w:tr>
        <w:tc>
          <w:tcPr>
            <w:tcW w:type="dxa" w:w="270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　】</w:t>
            </w:r>
          </w:p>
        </w:tc>
        <w:tc>
          <w:tcPr>
            <w:tcW w:type="dxa" w:w="3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　】</w:t>
            </w:r>
          </w:p>
        </w:tc>
        <w:tc>
          <w:tcPr>
            <w:tcW w:type="dxa" w:w="31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　】</w:t>
            </w:r>
          </w:p>
        </w:tc>
      </w:tr>
    </w:tbl>
    <w:p>
      <w:pPr>
        <w:spacing w:before="160"/>
      </w:pPr>
    </w:p>
    <w:p>
      <w:pPr>
        <w:pStyle w:val="Heading1"/>
      </w:pPr>
      <w:r>
        <w:rPr>
          <w:rFonts w:ascii="游ゴシック" w:cs="游ゴシック" w:eastAsia="游ゴシック" w:hAnsi="游ゴシック"/>
          <w:b/>
          <w:bCs/>
          <w:sz w:val="26"/>
          <w:szCs w:val="26"/>
        </w:rPr>
        <w:t xml:space="preserve">改定履歴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1800"/>
        <w:gridCol w:w="4970"/>
      </w:tblGrid>
      <w:tr>
        <w:tc>
          <w:tcPr>
            <w:tcW w:type="dxa" w:w="225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ゴシック" w:cs="游ゴシック" w:eastAsia="游ゴシック" w:hAnsi="游ゴシック"/>
                <w:b/>
                <w:bCs/>
                <w:sz w:val="20"/>
                <w:szCs w:val="20"/>
              </w:rPr>
              <w:t xml:space="preserve">改定日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ゴシック" w:cs="游ゴシック" w:eastAsia="游ゴシック" w:hAnsi="游ゴシック"/>
                <w:b/>
                <w:bCs/>
                <w:sz w:val="20"/>
                <w:szCs w:val="20"/>
              </w:rPr>
              <w:t xml:space="preserve">版数</w:t>
            </w:r>
          </w:p>
        </w:tc>
        <w:tc>
          <w:tcPr>
            <w:tcW w:type="dxa" w:w="497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E8EE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ゴシック" w:cs="游ゴシック" w:eastAsia="游ゴシック" w:hAnsi="游ゴシック"/>
                <w:b/>
                <w:bCs/>
                <w:sz w:val="20"/>
                <w:szCs w:val="20"/>
              </w:rPr>
              <w:t xml:space="preserve">改定内容</w:t>
            </w:r>
          </w:p>
        </w:tc>
      </w:tr>
      <w:tr>
        <w:tc>
          <w:tcPr>
            <w:tcW w:type="dxa" w:w="225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  <w:highlight w:val="yellow"/>
              </w:rPr>
              <w:t xml:space="preserve">【20XX年X月X日】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</w:rPr>
              <w:t xml:space="preserve">1.0</w:t>
            </w:r>
          </w:p>
        </w:tc>
        <w:tc>
          <w:tcPr>
            <w:tcW w:type="dxa" w:w="497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</w:rPr>
              <w:t xml:space="preserve">初版制定</w:t>
            </w:r>
          </w:p>
        </w:tc>
      </w:tr>
      <w:tr>
        <w:tc>
          <w:tcPr>
            <w:tcW w:type="dxa" w:w="2256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497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游明朝" w:cs="游明朝" w:eastAsia="游明朝" w:hAnsi="游明朝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・"/>
      <w:lvlJc w:val="left"/>
      <w:pPr>
        <w:ind w:left="48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．"/>
      <w:lvlJc w:val="left"/>
      <w:pPr>
        <w:ind w:left="480" w:hanging="4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．"/>
      <w:lvlJc w:val="left"/>
      <w:pPr>
        <w:ind w:left="480" w:hanging="4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．"/>
      <w:lvlJc w:val="left"/>
      <w:pPr>
        <w:ind w:left="480" w:hanging="48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．"/>
      <w:lvlJc w:val="left"/>
      <w:pPr>
        <w:ind w:left="480" w:hanging="48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．"/>
      <w:lvlJc w:val="left"/>
      <w:pPr>
        <w:ind w:left="480" w:hanging="48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．"/>
      <w:lvlJc w:val="left"/>
      <w:pPr>
        <w:ind w:left="480" w:hanging="48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．"/>
      <w:lvlJc w:val="left"/>
      <w:pPr>
        <w:ind w:left="480" w:hanging="4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cs="游明朝" w:eastAsia="游明朝" w:hAnsi="游明朝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44546A" w:sz="6" w:space="2"/>
      </w:pBdr>
      <w:spacing w:after="160" w:before="320"/>
      <w:outlineLvl w:val="0"/>
    </w:pPr>
    <w:rPr>
      <w:rFonts w:ascii="游ゴシック" w:cs="游ゴシック" w:eastAsia="游ゴシック" w:hAnsi="游ゴシック"/>
      <w:b/>
      <w:bCs/>
      <w:color w:val="00000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2026-06-12T21:18:47.759Z</dcterms:created>
  <dcterms:modified xsi:type="dcterms:W3CDTF">2026-06-12T21:18:47.759Z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